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E99" w:rsidRPr="00106E99" w:rsidRDefault="00106E99" w:rsidP="00106E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E99">
        <w:rPr>
          <w:rFonts w:ascii="Times New Roman" w:hAnsi="Times New Roman" w:cs="Times New Roman"/>
          <w:b/>
          <w:sz w:val="24"/>
          <w:szCs w:val="24"/>
        </w:rPr>
        <w:t>TÁJÉKOZTATÓ</w:t>
      </w:r>
    </w:p>
    <w:p w:rsidR="00106E99" w:rsidRPr="00106E99" w:rsidRDefault="00106E99" w:rsidP="00106E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06E99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106E99">
        <w:rPr>
          <w:rFonts w:ascii="Times New Roman" w:hAnsi="Times New Roman" w:cs="Times New Roman"/>
          <w:b/>
          <w:sz w:val="24"/>
          <w:szCs w:val="24"/>
        </w:rPr>
        <w:t xml:space="preserve"> birtokvédelmi eljárásról</w:t>
      </w:r>
    </w:p>
    <w:p w:rsidR="00106E99" w:rsidRDefault="00106E99" w:rsidP="00106E99">
      <w:r>
        <w:t xml:space="preserve"> </w:t>
      </w:r>
    </w:p>
    <w:p w:rsidR="00106E99" w:rsidRPr="00106E99" w:rsidRDefault="00106E99" w:rsidP="00106E99">
      <w:pPr>
        <w:jc w:val="both"/>
        <w:rPr>
          <w:rFonts w:ascii="Times New Roman" w:hAnsi="Times New Roman" w:cs="Times New Roman"/>
          <w:sz w:val="24"/>
          <w:szCs w:val="24"/>
        </w:rPr>
      </w:pPr>
      <w:r w:rsidRPr="00106E99">
        <w:rPr>
          <w:rFonts w:ascii="Times New Roman" w:hAnsi="Times New Roman" w:cs="Times New Roman"/>
          <w:sz w:val="24"/>
          <w:szCs w:val="24"/>
        </w:rPr>
        <w:t>A birtokvédelmi eljárás a Polgári Törvénykönyvről szóló</w:t>
      </w:r>
      <w:r>
        <w:rPr>
          <w:rFonts w:ascii="Times New Roman" w:hAnsi="Times New Roman" w:cs="Times New Roman"/>
          <w:sz w:val="24"/>
          <w:szCs w:val="24"/>
        </w:rPr>
        <w:t xml:space="preserve"> 2013. évi V. törvény</w:t>
      </w:r>
      <w:r w:rsidRPr="00106E99">
        <w:rPr>
          <w:rFonts w:ascii="Times New Roman" w:hAnsi="Times New Roman" w:cs="Times New Roman"/>
          <w:sz w:val="24"/>
          <w:szCs w:val="24"/>
        </w:rPr>
        <w:t xml:space="preserve"> (a továbbiakban: Ptk.) 5:1.- 5:12. §</w:t>
      </w:r>
      <w:proofErr w:type="spellStart"/>
      <w:r w:rsidRPr="00106E99">
        <w:rPr>
          <w:rFonts w:ascii="Times New Roman" w:hAnsi="Times New Roman" w:cs="Times New Roman"/>
          <w:sz w:val="24"/>
          <w:szCs w:val="24"/>
        </w:rPr>
        <w:t>-ai</w:t>
      </w:r>
      <w:proofErr w:type="spellEnd"/>
      <w:r w:rsidRPr="00106E99">
        <w:rPr>
          <w:rFonts w:ascii="Times New Roman" w:hAnsi="Times New Roman" w:cs="Times New Roman"/>
          <w:sz w:val="24"/>
          <w:szCs w:val="24"/>
        </w:rPr>
        <w:t xml:space="preserve">, valamint a jegyző hatáskörébe tartozó birtokvédelmi eljárásról szóló 17/2015. (II.16.) </w:t>
      </w:r>
      <w:proofErr w:type="spellStart"/>
      <w:r w:rsidRPr="00106E99">
        <w:rPr>
          <w:rFonts w:ascii="Times New Roman" w:hAnsi="Times New Roman" w:cs="Times New Roman"/>
          <w:sz w:val="24"/>
          <w:szCs w:val="24"/>
        </w:rPr>
        <w:t>Korm.rendeletben</w:t>
      </w:r>
      <w:proofErr w:type="spellEnd"/>
      <w:r w:rsidRPr="00106E99">
        <w:rPr>
          <w:rFonts w:ascii="Times New Roman" w:hAnsi="Times New Roman" w:cs="Times New Roman"/>
          <w:sz w:val="24"/>
          <w:szCs w:val="24"/>
        </w:rPr>
        <w:t xml:space="preserve"> foglaltak alapján folyik.  A birtokvédelmi eljárásban hozott döntés végrehajtásával kapcsolatos eljárásban, valamint az adatkezelésre vonatkozó kérdésekben a közigazgatási hatósági eljárás és szolgáltatás általános szabályairól szóló 2004. évi CXL. törvény </w:t>
      </w:r>
      <w:bookmarkStart w:id="0" w:name="_GoBack"/>
      <w:bookmarkEnd w:id="0"/>
      <w:r w:rsidRPr="00106E99">
        <w:rPr>
          <w:rFonts w:ascii="Times New Roman" w:hAnsi="Times New Roman" w:cs="Times New Roman"/>
          <w:sz w:val="24"/>
          <w:szCs w:val="24"/>
        </w:rPr>
        <w:t xml:space="preserve">(a továbbiakban: </w:t>
      </w:r>
      <w:proofErr w:type="spellStart"/>
      <w:r w:rsidRPr="00106E99">
        <w:rPr>
          <w:rFonts w:ascii="Times New Roman" w:hAnsi="Times New Roman" w:cs="Times New Roman"/>
          <w:sz w:val="24"/>
          <w:szCs w:val="24"/>
        </w:rPr>
        <w:t>Ket</w:t>
      </w:r>
      <w:proofErr w:type="spellEnd"/>
      <w:r w:rsidRPr="00106E99">
        <w:rPr>
          <w:rFonts w:ascii="Times New Roman" w:hAnsi="Times New Roman" w:cs="Times New Roman"/>
          <w:sz w:val="24"/>
          <w:szCs w:val="24"/>
        </w:rPr>
        <w:t xml:space="preserve">.) vonatkozó szakaszait kell alkalmazni. </w:t>
      </w:r>
    </w:p>
    <w:p w:rsidR="00106E99" w:rsidRPr="00106E99" w:rsidRDefault="00106E99" w:rsidP="00106E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birtokost birtokvédelem</w:t>
      </w:r>
      <w:r w:rsidRPr="00106E99">
        <w:rPr>
          <w:rFonts w:ascii="Times New Roman" w:hAnsi="Times New Roman" w:cs="Times New Roman"/>
          <w:sz w:val="24"/>
          <w:szCs w:val="24"/>
        </w:rPr>
        <w:t xml:space="preserve"> illeti meg, ha birtokától jogalap nélkül megfosztják vagy birtoklásában jogalap nélkül háborítják (a továbbiakban: tilos önhatalom).</w:t>
      </w:r>
    </w:p>
    <w:p w:rsidR="00106E99" w:rsidRPr="00106E99" w:rsidRDefault="00106E99" w:rsidP="00106E99">
      <w:pPr>
        <w:jc w:val="both"/>
        <w:rPr>
          <w:rFonts w:ascii="Times New Roman" w:hAnsi="Times New Roman" w:cs="Times New Roman"/>
          <w:sz w:val="24"/>
          <w:szCs w:val="24"/>
        </w:rPr>
      </w:pPr>
      <w:r w:rsidRPr="00106E99">
        <w:rPr>
          <w:rFonts w:ascii="Times New Roman" w:hAnsi="Times New Roman" w:cs="Times New Roman"/>
          <w:sz w:val="24"/>
          <w:szCs w:val="24"/>
        </w:rPr>
        <w:t xml:space="preserve">A jegyző hatásköre az egy éven belül történt birtoksértés vagy egy évnél rövidebb ideje tartó zavaró állapot esetén kizárólag a birtoklás tényén alapuló birtokvédelemre terjed ki. A jegyző az eljárás során eltekint a birtokláshoz való jog vizsgálatától és a tényleges birtokállapot, a valóságos helyzet alapján dönt. </w:t>
      </w:r>
    </w:p>
    <w:p w:rsidR="00106E99" w:rsidRDefault="00106E99" w:rsidP="00106E99">
      <w:pPr>
        <w:jc w:val="both"/>
        <w:rPr>
          <w:rFonts w:ascii="Times New Roman" w:hAnsi="Times New Roman" w:cs="Times New Roman"/>
          <w:sz w:val="24"/>
          <w:szCs w:val="24"/>
        </w:rPr>
      </w:pPr>
      <w:r w:rsidRPr="00106E99">
        <w:rPr>
          <w:rFonts w:ascii="Times New Roman" w:hAnsi="Times New Roman" w:cs="Times New Roman"/>
          <w:sz w:val="24"/>
          <w:szCs w:val="24"/>
        </w:rPr>
        <w:t xml:space="preserve">A birtokvédelmi kérelmet annál a jegyzőnél lehet előterjeszteni, amelynek illetékességi területén a birtoksértő magatartás megvalósul.  A birtokvédelmi kérelmet, valamint annak mellékleteit eggyel több példányban kell benyújtani, mint amennyi féllel szemben a birtokvédelmet kérik. </w:t>
      </w:r>
    </w:p>
    <w:p w:rsidR="00106E99" w:rsidRPr="00106E99" w:rsidRDefault="00106E99" w:rsidP="00106E99">
      <w:pPr>
        <w:jc w:val="both"/>
        <w:rPr>
          <w:rFonts w:ascii="Times New Roman" w:hAnsi="Times New Roman" w:cs="Times New Roman"/>
          <w:sz w:val="24"/>
          <w:szCs w:val="24"/>
        </w:rPr>
      </w:pPr>
      <w:r w:rsidRPr="00106E99">
        <w:rPr>
          <w:rFonts w:ascii="Times New Roman" w:hAnsi="Times New Roman" w:cs="Times New Roman"/>
          <w:sz w:val="24"/>
          <w:szCs w:val="24"/>
        </w:rPr>
        <w:t>A kérelemnek tartalmazni kell:</w:t>
      </w:r>
    </w:p>
    <w:p w:rsidR="00106E99" w:rsidRPr="00106E99" w:rsidRDefault="00106E99" w:rsidP="00106E9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6E9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06E9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06E9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106E99">
        <w:rPr>
          <w:rFonts w:ascii="Times New Roman" w:hAnsi="Times New Roman" w:cs="Times New Roman"/>
          <w:sz w:val="24"/>
          <w:szCs w:val="24"/>
        </w:rPr>
        <w:t xml:space="preserve">  birtokvédelmet kérő  nevét, lakcímét (székhelyét), aláírását,</w:t>
      </w:r>
    </w:p>
    <w:p w:rsidR="00106E99" w:rsidRPr="00106E99" w:rsidRDefault="00106E99" w:rsidP="00106E99">
      <w:pPr>
        <w:jc w:val="both"/>
        <w:rPr>
          <w:rFonts w:ascii="Times New Roman" w:hAnsi="Times New Roman" w:cs="Times New Roman"/>
          <w:sz w:val="24"/>
          <w:szCs w:val="24"/>
        </w:rPr>
      </w:pPr>
      <w:r w:rsidRPr="00106E99">
        <w:rPr>
          <w:rFonts w:ascii="Times New Roman" w:hAnsi="Times New Roman" w:cs="Times New Roman"/>
          <w:sz w:val="24"/>
          <w:szCs w:val="24"/>
        </w:rPr>
        <w:t>b) a képviselő nevét, lakcímét (székhelyét), aláírását,</w:t>
      </w:r>
    </w:p>
    <w:p w:rsidR="00106E99" w:rsidRPr="00106E99" w:rsidRDefault="00106E99" w:rsidP="00106E99">
      <w:pPr>
        <w:jc w:val="both"/>
        <w:rPr>
          <w:rFonts w:ascii="Times New Roman" w:hAnsi="Times New Roman" w:cs="Times New Roman"/>
          <w:sz w:val="24"/>
          <w:szCs w:val="24"/>
        </w:rPr>
      </w:pPr>
      <w:r w:rsidRPr="00106E99">
        <w:rPr>
          <w:rFonts w:ascii="Times New Roman" w:hAnsi="Times New Roman" w:cs="Times New Roman"/>
          <w:sz w:val="24"/>
          <w:szCs w:val="24"/>
        </w:rPr>
        <w:t>c) az ellenérdekű fél (felek) nevét, lakcímét (székhelyét), aláírását</w:t>
      </w:r>
    </w:p>
    <w:p w:rsidR="00106E99" w:rsidRPr="00106E99" w:rsidRDefault="00106E99" w:rsidP="00106E99">
      <w:pPr>
        <w:jc w:val="both"/>
        <w:rPr>
          <w:rFonts w:ascii="Times New Roman" w:hAnsi="Times New Roman" w:cs="Times New Roman"/>
          <w:sz w:val="24"/>
          <w:szCs w:val="24"/>
        </w:rPr>
      </w:pPr>
      <w:r w:rsidRPr="00106E99">
        <w:rPr>
          <w:rFonts w:ascii="Times New Roman" w:hAnsi="Times New Roman" w:cs="Times New Roman"/>
          <w:sz w:val="24"/>
          <w:szCs w:val="24"/>
        </w:rPr>
        <w:t xml:space="preserve">d) az eljárás alapjául szolgáló tényállás (cselekmény) ismertetését, </w:t>
      </w:r>
    </w:p>
    <w:p w:rsidR="00106E99" w:rsidRPr="00106E99" w:rsidRDefault="00106E99" w:rsidP="00106E9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6E99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106E99">
        <w:rPr>
          <w:rFonts w:ascii="Times New Roman" w:hAnsi="Times New Roman" w:cs="Times New Roman"/>
          <w:sz w:val="24"/>
          <w:szCs w:val="24"/>
        </w:rPr>
        <w:t>) a jegyző illetékességét megalapozó adatokat, (elkövetés helyére való utalást)</w:t>
      </w:r>
    </w:p>
    <w:p w:rsidR="00106E99" w:rsidRPr="00106E99" w:rsidRDefault="00106E99" w:rsidP="00106E9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6E99">
        <w:rPr>
          <w:rFonts w:ascii="Times New Roman" w:hAnsi="Times New Roman" w:cs="Times New Roman"/>
          <w:sz w:val="24"/>
          <w:szCs w:val="24"/>
        </w:rPr>
        <w:t>f</w:t>
      </w:r>
      <w:proofErr w:type="gramEnd"/>
      <w:r w:rsidRPr="00106E99">
        <w:rPr>
          <w:rFonts w:ascii="Times New Roman" w:hAnsi="Times New Roman" w:cs="Times New Roman"/>
          <w:sz w:val="24"/>
          <w:szCs w:val="24"/>
        </w:rPr>
        <w:t xml:space="preserve">) a jegyző döntésére irányuló kifejezett kérelmet, </w:t>
      </w:r>
    </w:p>
    <w:p w:rsidR="00106E99" w:rsidRPr="00106E99" w:rsidRDefault="00106E99" w:rsidP="00106E9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6E99">
        <w:rPr>
          <w:rFonts w:ascii="Times New Roman" w:hAnsi="Times New Roman" w:cs="Times New Roman"/>
          <w:sz w:val="24"/>
          <w:szCs w:val="24"/>
        </w:rPr>
        <w:t>g</w:t>
      </w:r>
      <w:proofErr w:type="gramEnd"/>
      <w:r w:rsidRPr="00106E99">
        <w:rPr>
          <w:rFonts w:ascii="Times New Roman" w:hAnsi="Times New Roman" w:cs="Times New Roman"/>
          <w:sz w:val="24"/>
          <w:szCs w:val="24"/>
        </w:rPr>
        <w:t xml:space="preserve">) a birtoksértés időpontjára történő utalást.  </w:t>
      </w:r>
    </w:p>
    <w:p w:rsidR="00106E99" w:rsidRPr="00106E99" w:rsidRDefault="00106E99" w:rsidP="00106E99">
      <w:pPr>
        <w:jc w:val="both"/>
        <w:rPr>
          <w:rFonts w:ascii="Times New Roman" w:hAnsi="Times New Roman" w:cs="Times New Roman"/>
          <w:sz w:val="24"/>
          <w:szCs w:val="24"/>
        </w:rPr>
      </w:pPr>
      <w:r w:rsidRPr="00106E99">
        <w:rPr>
          <w:rFonts w:ascii="Times New Roman" w:hAnsi="Times New Roman" w:cs="Times New Roman"/>
          <w:sz w:val="24"/>
          <w:szCs w:val="24"/>
        </w:rPr>
        <w:t xml:space="preserve">A birtokvita eldöntéséhez szükséges tényállás megállapítása során a jegyző a felek által előterjesztett, valamint a bizonyítási eljárás során megismert bizonyítékokat szabadon mérlegeli. </w:t>
      </w:r>
    </w:p>
    <w:p w:rsidR="00106E99" w:rsidRPr="00106E99" w:rsidRDefault="00106E99" w:rsidP="00106E99">
      <w:pPr>
        <w:jc w:val="both"/>
        <w:rPr>
          <w:rFonts w:ascii="Times New Roman" w:hAnsi="Times New Roman" w:cs="Times New Roman"/>
          <w:sz w:val="24"/>
          <w:szCs w:val="24"/>
        </w:rPr>
      </w:pPr>
      <w:r w:rsidRPr="00106E99">
        <w:rPr>
          <w:rFonts w:ascii="Times New Roman" w:hAnsi="Times New Roman" w:cs="Times New Roman"/>
          <w:sz w:val="24"/>
          <w:szCs w:val="24"/>
        </w:rPr>
        <w:t>A jegyző birtoklás kérdésében hozott ha</w:t>
      </w:r>
      <w:r>
        <w:rPr>
          <w:rFonts w:ascii="Times New Roman" w:hAnsi="Times New Roman" w:cs="Times New Roman"/>
          <w:sz w:val="24"/>
          <w:szCs w:val="24"/>
        </w:rPr>
        <w:t xml:space="preserve">tározata ellen a </w:t>
      </w:r>
      <w:proofErr w:type="spellStart"/>
      <w:r>
        <w:rPr>
          <w:rFonts w:ascii="Times New Roman" w:hAnsi="Times New Roman" w:cs="Times New Roman"/>
          <w:sz w:val="24"/>
          <w:szCs w:val="24"/>
        </w:rPr>
        <w:t>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szerinti </w:t>
      </w:r>
      <w:r w:rsidRPr="00106E99">
        <w:rPr>
          <w:rFonts w:ascii="Times New Roman" w:hAnsi="Times New Roman" w:cs="Times New Roman"/>
          <w:sz w:val="24"/>
          <w:szCs w:val="24"/>
        </w:rPr>
        <w:t xml:space="preserve">jogorvoslati és döntés-felülvizsgálati eljárásnak nincs helye. Az a fél, aki a jegyző határozatát sérelmesnek tartja, a bíróságtól kérheti a határozat megváltoztatását. </w:t>
      </w:r>
    </w:p>
    <w:p w:rsidR="00106E99" w:rsidRPr="00106E99" w:rsidRDefault="00106E99" w:rsidP="00106E99">
      <w:pPr>
        <w:jc w:val="both"/>
        <w:rPr>
          <w:rFonts w:ascii="Times New Roman" w:hAnsi="Times New Roman" w:cs="Times New Roman"/>
          <w:sz w:val="24"/>
          <w:szCs w:val="24"/>
        </w:rPr>
      </w:pPr>
      <w:r w:rsidRPr="00106E99">
        <w:rPr>
          <w:rFonts w:ascii="Times New Roman" w:hAnsi="Times New Roman" w:cs="Times New Roman"/>
          <w:sz w:val="24"/>
          <w:szCs w:val="24"/>
        </w:rPr>
        <w:t xml:space="preserve">Amennyiben a kötelezett nem tesz eleget a határozatban foglaltaknak, a jogosult kérelmére a jegyző végrehajtást rendel el. A jegyző birtoklás kérdésében hozott határozatát három napon belül végre kell hajtani akkor is, ha a kötelezett a bírósághoz fordul. </w:t>
      </w:r>
    </w:p>
    <w:p w:rsidR="00106E99" w:rsidRPr="00106E99" w:rsidRDefault="00106E99" w:rsidP="00106E99">
      <w:pPr>
        <w:jc w:val="both"/>
        <w:rPr>
          <w:rFonts w:ascii="Times New Roman" w:hAnsi="Times New Roman" w:cs="Times New Roman"/>
          <w:sz w:val="24"/>
          <w:szCs w:val="24"/>
        </w:rPr>
      </w:pPr>
      <w:r w:rsidRPr="00106E99">
        <w:rPr>
          <w:rFonts w:ascii="Times New Roman" w:hAnsi="Times New Roman" w:cs="Times New Roman"/>
          <w:sz w:val="24"/>
          <w:szCs w:val="24"/>
        </w:rPr>
        <w:lastRenderedPageBreak/>
        <w:t xml:space="preserve">Ha a bíróság a birtokvédelmi eljárás után indított birtokvédelmi perben a keresetet elutasítja, a határozat végrehajtásáról – a hasznok, károk és költségek kivételével – a jegyző gondoskodik.  </w:t>
      </w:r>
    </w:p>
    <w:p w:rsidR="00106E99" w:rsidRPr="00106E99" w:rsidRDefault="00106E99" w:rsidP="00106E99">
      <w:pPr>
        <w:jc w:val="both"/>
        <w:rPr>
          <w:rFonts w:ascii="Times New Roman" w:hAnsi="Times New Roman" w:cs="Times New Roman"/>
          <w:sz w:val="24"/>
          <w:szCs w:val="24"/>
        </w:rPr>
      </w:pPr>
      <w:r w:rsidRPr="00106E99">
        <w:rPr>
          <w:rFonts w:ascii="Times New Roman" w:hAnsi="Times New Roman" w:cs="Times New Roman"/>
          <w:sz w:val="24"/>
          <w:szCs w:val="24"/>
        </w:rPr>
        <w:t>A birtokvédelem iránti kérelem benyújtható postai úton (</w:t>
      </w:r>
      <w:r>
        <w:rPr>
          <w:rFonts w:ascii="Times New Roman" w:hAnsi="Times New Roman" w:cs="Times New Roman"/>
          <w:sz w:val="24"/>
          <w:szCs w:val="24"/>
        </w:rPr>
        <w:t>2254 Szentmártonkáta,</w:t>
      </w:r>
      <w:r w:rsidRPr="00106E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Rákóczi út 52/c.), és személyesen Szentmártonkátai Polgármesteri Hivatal 4</w:t>
      </w:r>
      <w:r w:rsidRPr="00106E99">
        <w:rPr>
          <w:rFonts w:ascii="Times New Roman" w:hAnsi="Times New Roman" w:cs="Times New Roman"/>
          <w:sz w:val="24"/>
          <w:szCs w:val="24"/>
        </w:rPr>
        <w:t>. számú irodahelyiség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106E99">
        <w:rPr>
          <w:rFonts w:ascii="Times New Roman" w:hAnsi="Times New Roman" w:cs="Times New Roman"/>
          <w:sz w:val="24"/>
          <w:szCs w:val="24"/>
        </w:rPr>
        <w:t xml:space="preserve">ben ügyfélfogadási időben.  </w:t>
      </w:r>
    </w:p>
    <w:p w:rsidR="00106E99" w:rsidRPr="00106E99" w:rsidRDefault="00106E99" w:rsidP="00106E99">
      <w:pPr>
        <w:jc w:val="both"/>
        <w:rPr>
          <w:rFonts w:ascii="Times New Roman" w:hAnsi="Times New Roman" w:cs="Times New Roman"/>
          <w:sz w:val="24"/>
          <w:szCs w:val="24"/>
        </w:rPr>
      </w:pPr>
      <w:r w:rsidRPr="00106E99">
        <w:rPr>
          <w:rFonts w:ascii="Times New Roman" w:hAnsi="Times New Roman" w:cs="Times New Roman"/>
          <w:sz w:val="24"/>
          <w:szCs w:val="24"/>
        </w:rPr>
        <w:t xml:space="preserve"> A kérelem az illetékekről szóló 1990. évi XCIII. törvény 29. § (1) bekezdése szerint illetékköteles, melynek mértéke 3.000,- Ft.  Az illeték meg nem fizetése esetén a jegyző a kérelmet elutasítja.</w:t>
      </w:r>
    </w:p>
    <w:p w:rsidR="00A74F48" w:rsidRPr="00106E99" w:rsidRDefault="00A74F48" w:rsidP="00106E9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74F48" w:rsidRPr="00106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976"/>
    <w:rsid w:val="00106E99"/>
    <w:rsid w:val="001E37BF"/>
    <w:rsid w:val="00A74F48"/>
    <w:rsid w:val="00E6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0DC22F-99B6-4C67-A419-0F9171926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392</Words>
  <Characters>2709</Characters>
  <Application>Microsoft Office Word</Application>
  <DocSecurity>0</DocSecurity>
  <Lines>22</Lines>
  <Paragraphs>6</Paragraphs>
  <ScaleCrop>false</ScaleCrop>
  <Company/>
  <LinksUpToDate>false</LinksUpToDate>
  <CharactersWithSpaces>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2017-06-08T11:46:00Z</dcterms:created>
  <dcterms:modified xsi:type="dcterms:W3CDTF">2017-06-08T11:55:00Z</dcterms:modified>
</cp:coreProperties>
</file>